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A4824" w14:textId="77777777" w:rsidR="00D232ED" w:rsidRPr="00D232ED" w:rsidRDefault="00D232ED" w:rsidP="00013F41">
      <w:pPr>
        <w:jc w:val="center"/>
        <w:rPr>
          <w:rFonts w:ascii="Aptos" w:hAnsi="Aptos"/>
          <w:b/>
          <w:bCs/>
          <w:sz w:val="24"/>
          <w:szCs w:val="24"/>
        </w:rPr>
      </w:pPr>
    </w:p>
    <w:p w14:paraId="402D9C81" w14:textId="3CEAF768" w:rsidR="00187221" w:rsidRPr="006739B3" w:rsidRDefault="00187221" w:rsidP="00187221">
      <w:pPr>
        <w:spacing w:line="312" w:lineRule="auto"/>
        <w:jc w:val="right"/>
        <w:rPr>
          <w:rFonts w:ascii="Aptos" w:hAnsi="Aptos" w:cs="Arial"/>
          <w:b/>
          <w:sz w:val="24"/>
          <w:szCs w:val="24"/>
        </w:rPr>
      </w:pPr>
      <w:r w:rsidRPr="006739B3">
        <w:rPr>
          <w:rFonts w:ascii="Aptos" w:hAnsi="Aptos" w:cs="Arial"/>
          <w:b/>
          <w:sz w:val="24"/>
          <w:szCs w:val="24"/>
        </w:rPr>
        <w:t xml:space="preserve">Załącznik nr </w:t>
      </w:r>
      <w:r>
        <w:rPr>
          <w:rFonts w:ascii="Aptos" w:hAnsi="Aptos" w:cs="Arial"/>
          <w:b/>
          <w:sz w:val="24"/>
          <w:szCs w:val="24"/>
        </w:rPr>
        <w:t>9</w:t>
      </w:r>
      <w:r w:rsidRPr="006739B3">
        <w:rPr>
          <w:rFonts w:ascii="Aptos" w:hAnsi="Aptos" w:cs="Arial"/>
          <w:b/>
          <w:sz w:val="24"/>
          <w:szCs w:val="24"/>
        </w:rPr>
        <w:t xml:space="preserve"> do IDW</w:t>
      </w:r>
    </w:p>
    <w:p w14:paraId="30D9E44B" w14:textId="77777777" w:rsidR="00187221" w:rsidRPr="006739B3" w:rsidRDefault="00187221" w:rsidP="00187221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ptos" w:hAnsi="Aptos" w:cs="Arial"/>
          <w:b/>
        </w:rPr>
      </w:pPr>
      <w:r w:rsidRPr="006739B3">
        <w:rPr>
          <w:rFonts w:ascii="Aptos" w:hAnsi="Aptos" w:cs="Arial"/>
          <w:b/>
        </w:rPr>
        <w:t xml:space="preserve">w postępowaniu nr </w:t>
      </w:r>
      <w:r w:rsidRPr="006739B3">
        <w:rPr>
          <w:rFonts w:ascii="Aptos" w:hAnsi="Aptos" w:cs="Arial"/>
          <w:b/>
          <w:color w:val="0070C0"/>
        </w:rPr>
        <w:t>DIN.0421.2.202</w:t>
      </w:r>
      <w:r>
        <w:rPr>
          <w:rFonts w:ascii="Aptos" w:hAnsi="Aptos" w:cs="Arial"/>
          <w:b/>
          <w:color w:val="0070C0"/>
        </w:rPr>
        <w:t>6</w:t>
      </w:r>
    </w:p>
    <w:p w14:paraId="127AB7A3" w14:textId="07539748" w:rsidR="00D232ED" w:rsidRPr="00160336" w:rsidRDefault="00160336" w:rsidP="00013F41">
      <w:pPr>
        <w:jc w:val="center"/>
        <w:rPr>
          <w:rFonts w:ascii="Aptos" w:hAnsi="Aptos"/>
          <w:b/>
          <w:bCs/>
          <w:color w:val="0070C0"/>
          <w:sz w:val="24"/>
          <w:szCs w:val="24"/>
        </w:rPr>
      </w:pPr>
      <w:r w:rsidRPr="00160336">
        <w:rPr>
          <w:rFonts w:ascii="Aptos" w:hAnsi="Aptos"/>
          <w:b/>
          <w:bCs/>
          <w:i/>
          <w:iCs/>
          <w:color w:val="0070C0"/>
          <w:sz w:val="24"/>
          <w:szCs w:val="24"/>
        </w:rPr>
        <w:t>„Zaprojektowanie i wdrożenie portalu www dla WCZ SPZOZ”</w:t>
      </w:r>
    </w:p>
    <w:p w14:paraId="511447C7" w14:textId="77777777" w:rsidR="00160336" w:rsidRDefault="00160336" w:rsidP="00013F41">
      <w:pPr>
        <w:jc w:val="center"/>
        <w:rPr>
          <w:rFonts w:ascii="Aptos" w:hAnsi="Aptos"/>
          <w:b/>
          <w:bCs/>
          <w:sz w:val="24"/>
          <w:szCs w:val="24"/>
        </w:rPr>
      </w:pPr>
    </w:p>
    <w:p w14:paraId="687923B6" w14:textId="4E3B395B" w:rsidR="00013F41" w:rsidRPr="00D232ED" w:rsidRDefault="00013F41" w:rsidP="00013F41">
      <w:pPr>
        <w:jc w:val="center"/>
        <w:rPr>
          <w:rFonts w:ascii="Aptos" w:hAnsi="Aptos"/>
          <w:b/>
          <w:bCs/>
          <w:sz w:val="24"/>
          <w:szCs w:val="24"/>
        </w:rPr>
      </w:pPr>
      <w:r w:rsidRPr="00D232ED">
        <w:rPr>
          <w:rFonts w:ascii="Aptos" w:hAnsi="Aptos"/>
          <w:b/>
          <w:bCs/>
          <w:sz w:val="24"/>
          <w:szCs w:val="24"/>
        </w:rPr>
        <w:t>ARKUSZ OCENY – KRYTERIUM „JAKOŚĆ” (J)</w:t>
      </w:r>
    </w:p>
    <w:p w14:paraId="0A5BF54E" w14:textId="69A2B45E" w:rsidR="00013F41" w:rsidRPr="00D232ED" w:rsidRDefault="00013F41" w:rsidP="00013F41">
      <w:pPr>
        <w:rPr>
          <w:rFonts w:ascii="Aptos" w:hAnsi="Aptos"/>
          <w:sz w:val="24"/>
          <w:szCs w:val="24"/>
        </w:rPr>
      </w:pPr>
      <w:r w:rsidRPr="00D232ED">
        <w:rPr>
          <w:rFonts w:ascii="Aptos" w:hAnsi="Aptos"/>
          <w:b/>
          <w:bCs/>
          <w:sz w:val="24"/>
          <w:szCs w:val="24"/>
        </w:rPr>
        <w:t xml:space="preserve">Nazwa </w:t>
      </w:r>
      <w:r w:rsidR="00187221">
        <w:rPr>
          <w:rFonts w:ascii="Aptos" w:hAnsi="Aptos"/>
          <w:b/>
          <w:bCs/>
          <w:sz w:val="24"/>
          <w:szCs w:val="24"/>
        </w:rPr>
        <w:t>W</w:t>
      </w:r>
      <w:r w:rsidRPr="00D232ED">
        <w:rPr>
          <w:rFonts w:ascii="Aptos" w:hAnsi="Aptos"/>
          <w:b/>
          <w:bCs/>
          <w:sz w:val="24"/>
          <w:szCs w:val="24"/>
        </w:rPr>
        <w:t>ykonawcy:</w:t>
      </w:r>
      <w:r w:rsidRPr="00D232ED">
        <w:rPr>
          <w:rFonts w:ascii="Aptos" w:hAnsi="Aptos"/>
          <w:sz w:val="24"/>
          <w:szCs w:val="24"/>
        </w:rPr>
        <w:t> ________________________________________</w:t>
      </w:r>
      <w:r w:rsidRPr="00D232ED">
        <w:rPr>
          <w:rFonts w:ascii="Aptos" w:hAnsi="Aptos"/>
          <w:sz w:val="24"/>
          <w:szCs w:val="24"/>
        </w:rPr>
        <w:br/>
      </w:r>
      <w:r w:rsidRPr="00D232ED">
        <w:rPr>
          <w:rFonts w:ascii="Aptos" w:hAnsi="Aptos"/>
          <w:b/>
          <w:bCs/>
          <w:sz w:val="24"/>
          <w:szCs w:val="24"/>
        </w:rPr>
        <w:t>Data oceny:</w:t>
      </w:r>
      <w:r w:rsidRPr="00D232ED">
        <w:rPr>
          <w:rFonts w:ascii="Aptos" w:hAnsi="Aptos"/>
          <w:sz w:val="24"/>
          <w:szCs w:val="24"/>
        </w:rPr>
        <w:t> ________________</w:t>
      </w:r>
      <w:r w:rsidRPr="00D232ED">
        <w:rPr>
          <w:rFonts w:ascii="Aptos" w:hAnsi="Aptos"/>
          <w:sz w:val="24"/>
          <w:szCs w:val="24"/>
        </w:rPr>
        <w:br/>
      </w:r>
      <w:r w:rsidRPr="00D232ED">
        <w:rPr>
          <w:rFonts w:ascii="Aptos" w:hAnsi="Aptos"/>
          <w:b/>
          <w:bCs/>
          <w:sz w:val="24"/>
          <w:szCs w:val="24"/>
        </w:rPr>
        <w:t>Imię i nazwisko oceniającego:</w:t>
      </w:r>
      <w:r w:rsidRPr="00D232ED">
        <w:rPr>
          <w:rFonts w:ascii="Aptos" w:hAnsi="Aptos"/>
          <w:sz w:val="24"/>
          <w:szCs w:val="24"/>
        </w:rPr>
        <w:t> ___________________________</w:t>
      </w:r>
    </w:p>
    <w:p w14:paraId="04DE724D" w14:textId="77777777" w:rsidR="00013F41" w:rsidRPr="00D232ED" w:rsidRDefault="00000000" w:rsidP="00013F41">
      <w:pPr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pict w14:anchorId="3240C9DD">
          <v:rect id="_x0000_i1025" style="width:0;height:.75pt" o:hralign="center" o:hrstd="t" o:hr="t" fillcolor="#a0a0a0" stroked="f"/>
        </w:pict>
      </w:r>
    </w:p>
    <w:p w14:paraId="64D3B9F4" w14:textId="77777777" w:rsidR="00013F41" w:rsidRPr="00D232ED" w:rsidRDefault="00013F41" w:rsidP="00013F41">
      <w:pPr>
        <w:rPr>
          <w:rFonts w:ascii="Aptos" w:hAnsi="Aptos"/>
          <w:b/>
          <w:bCs/>
          <w:sz w:val="24"/>
          <w:szCs w:val="24"/>
        </w:rPr>
      </w:pPr>
      <w:r w:rsidRPr="00D232ED">
        <w:rPr>
          <w:rFonts w:ascii="Aptos" w:hAnsi="Aptos"/>
          <w:b/>
          <w:bCs/>
          <w:sz w:val="24"/>
          <w:szCs w:val="24"/>
        </w:rPr>
        <w:t>Instrukcja</w:t>
      </w:r>
    </w:p>
    <w:p w14:paraId="2991B882" w14:textId="19807E6B" w:rsidR="00013F41" w:rsidRPr="00D232ED" w:rsidRDefault="00013F41" w:rsidP="00013F41">
      <w:pPr>
        <w:rPr>
          <w:rFonts w:ascii="Aptos" w:hAnsi="Aptos"/>
          <w:sz w:val="24"/>
          <w:szCs w:val="24"/>
        </w:rPr>
      </w:pPr>
      <w:r w:rsidRPr="00D232ED">
        <w:rPr>
          <w:rFonts w:ascii="Aptos" w:hAnsi="Aptos"/>
          <w:sz w:val="24"/>
          <w:szCs w:val="24"/>
        </w:rPr>
        <w:t>Ocenie podlega </w:t>
      </w:r>
      <w:r w:rsidRPr="00D232ED">
        <w:rPr>
          <w:rFonts w:ascii="Aptos" w:hAnsi="Aptos"/>
          <w:b/>
          <w:bCs/>
          <w:sz w:val="24"/>
          <w:szCs w:val="24"/>
        </w:rPr>
        <w:t>opis koncepcji realizacji</w:t>
      </w:r>
      <w:r w:rsidRPr="00D232ED">
        <w:rPr>
          <w:rFonts w:ascii="Aptos" w:hAnsi="Aptos"/>
          <w:sz w:val="24"/>
          <w:szCs w:val="24"/>
        </w:rPr>
        <w:t> wraz z </w:t>
      </w:r>
      <w:r w:rsidRPr="00D232ED">
        <w:rPr>
          <w:rFonts w:ascii="Aptos" w:hAnsi="Aptos"/>
          <w:b/>
          <w:bCs/>
          <w:sz w:val="24"/>
          <w:szCs w:val="24"/>
        </w:rPr>
        <w:t>makietami (</w:t>
      </w:r>
      <w:proofErr w:type="spellStart"/>
      <w:r w:rsidRPr="00D232ED">
        <w:rPr>
          <w:rFonts w:ascii="Aptos" w:hAnsi="Aptos"/>
          <w:b/>
          <w:bCs/>
          <w:sz w:val="24"/>
          <w:szCs w:val="24"/>
        </w:rPr>
        <w:t>wireframe</w:t>
      </w:r>
      <w:proofErr w:type="spellEnd"/>
      <w:r w:rsidRPr="00D232ED">
        <w:rPr>
          <w:rFonts w:ascii="Aptos" w:hAnsi="Aptos"/>
          <w:b/>
          <w:bCs/>
          <w:sz w:val="24"/>
          <w:szCs w:val="24"/>
        </w:rPr>
        <w:t>)</w:t>
      </w:r>
      <w:r w:rsidRPr="00D232ED">
        <w:rPr>
          <w:rFonts w:ascii="Aptos" w:hAnsi="Aptos"/>
          <w:sz w:val="24"/>
          <w:szCs w:val="24"/>
        </w:rPr>
        <w:t> strony głównej i przykładowej podstrony wewnętrznej (np. profil lekarza). Punkty przyznaje się wyłącznie za elementy </w:t>
      </w:r>
      <w:r w:rsidRPr="00D232ED">
        <w:rPr>
          <w:rFonts w:ascii="Aptos" w:hAnsi="Aptos"/>
          <w:b/>
          <w:bCs/>
          <w:sz w:val="24"/>
          <w:szCs w:val="24"/>
        </w:rPr>
        <w:t>jednoznacznie wykazane</w:t>
      </w:r>
      <w:r w:rsidRPr="00D232ED">
        <w:rPr>
          <w:rFonts w:ascii="Aptos" w:hAnsi="Aptos"/>
          <w:sz w:val="24"/>
          <w:szCs w:val="24"/>
        </w:rPr>
        <w:t> w tych dokumentach. Walory artystyczne nie podlegają ocenie. Łączna liczba punktów w kryterium J wynosi </w:t>
      </w:r>
      <w:r w:rsidRPr="00D232ED">
        <w:rPr>
          <w:rFonts w:ascii="Aptos" w:hAnsi="Aptos"/>
          <w:b/>
          <w:bCs/>
          <w:sz w:val="24"/>
          <w:szCs w:val="24"/>
        </w:rPr>
        <w:t>20</w:t>
      </w:r>
      <w:r w:rsidRPr="00D232ED">
        <w:rPr>
          <w:rFonts w:ascii="Aptos" w:hAnsi="Aptos"/>
          <w:sz w:val="24"/>
          <w:szCs w:val="24"/>
        </w:rPr>
        <w:t>.</w:t>
      </w:r>
    </w:p>
    <w:p w14:paraId="56601829" w14:textId="77777777" w:rsidR="00013F41" w:rsidRPr="00D232ED" w:rsidRDefault="00000000" w:rsidP="00013F41">
      <w:pPr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pict w14:anchorId="7A8CE84A">
          <v:rect id="_x0000_i1026" style="width:0;height:.75pt" o:hralign="center" o:hrstd="t" o:hr="t" fillcolor="#a0a0a0" stroked="f"/>
        </w:pict>
      </w:r>
    </w:p>
    <w:p w14:paraId="3F8BBAEE" w14:textId="77777777" w:rsidR="00013F41" w:rsidRPr="00D232ED" w:rsidRDefault="00013F41" w:rsidP="00013F41">
      <w:pPr>
        <w:rPr>
          <w:rFonts w:ascii="Aptos" w:hAnsi="Aptos"/>
          <w:b/>
          <w:bCs/>
          <w:sz w:val="24"/>
          <w:szCs w:val="24"/>
        </w:rPr>
      </w:pPr>
      <w:r w:rsidRPr="00D232ED">
        <w:rPr>
          <w:rFonts w:ascii="Aptos" w:hAnsi="Aptos"/>
          <w:b/>
          <w:bCs/>
          <w:sz w:val="24"/>
          <w:szCs w:val="24"/>
        </w:rPr>
        <w:t>CZĘŚĆ A – DOSTĘPNOŚĆ DLA SENIORÓW I OSÓB Z NIEPEŁNOSPRAWNOŚCIAMI (max 8 pkt)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3"/>
        <w:gridCol w:w="1832"/>
        <w:gridCol w:w="2599"/>
        <w:gridCol w:w="1401"/>
        <w:gridCol w:w="1529"/>
        <w:gridCol w:w="1118"/>
      </w:tblGrid>
      <w:tr w:rsidR="00013F41" w:rsidRPr="00D232ED" w14:paraId="5849E1D3" w14:textId="77777777" w:rsidTr="002D72E6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E8F14B9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Lp.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1AFC5D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Element oceny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05038B3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Opis / odniesienie do OPZ</w:t>
            </w:r>
          </w:p>
        </w:tc>
        <w:tc>
          <w:tcPr>
            <w:tcW w:w="140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09C1EB9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Maks. pkt</w:t>
            </w:r>
          </w:p>
        </w:tc>
        <w:tc>
          <w:tcPr>
            <w:tcW w:w="122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05354B6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Przyznane pkt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7E571C2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Uwagi</w:t>
            </w:r>
          </w:p>
        </w:tc>
      </w:tr>
      <w:tr w:rsidR="00013F41" w:rsidRPr="00D232ED" w14:paraId="4A7BD32F" w14:textId="77777777" w:rsidTr="002D72E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5692E86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A.1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F2AA079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Przełączniki dostępności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15B1AF9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Koncepcja przewiduje zastosowanie przełączników (tryb wysokiego kontrastu, tryb 'senior', wersja ETR) – zgodnie z pkt 4.1.10 OPZ</w:t>
            </w:r>
          </w:p>
        </w:tc>
        <w:tc>
          <w:tcPr>
            <w:tcW w:w="140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269435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2</w:t>
            </w:r>
          </w:p>
        </w:tc>
        <w:tc>
          <w:tcPr>
            <w:tcW w:w="122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106F3F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F88B45A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013F41" w:rsidRPr="00D232ED" w14:paraId="514BFD58" w14:textId="77777777" w:rsidTr="002D72E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B61A0E6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A.2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B663D78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Widoczny fokus klawiatury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50FAFC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 xml:space="preserve">Koncepcja opisuje lub makiety wizualizują realizację </w:t>
            </w:r>
            <w:r w:rsidRPr="00D232ED">
              <w:rPr>
                <w:rFonts w:ascii="Aptos" w:hAnsi="Aptos"/>
                <w:sz w:val="24"/>
                <w:szCs w:val="24"/>
              </w:rPr>
              <w:lastRenderedPageBreak/>
              <w:t>widocznego fokusu dla elementów interaktywnych – zgodnie z pkt 4.3.1 OPZ</w:t>
            </w:r>
          </w:p>
        </w:tc>
        <w:tc>
          <w:tcPr>
            <w:tcW w:w="140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9B97FF2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lastRenderedPageBreak/>
              <w:t>+2 (łącznie 4)</w:t>
            </w:r>
          </w:p>
        </w:tc>
        <w:tc>
          <w:tcPr>
            <w:tcW w:w="122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C6E3E0E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C4F8271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013F41" w:rsidRPr="00D232ED" w14:paraId="20B674F4" w14:textId="77777777" w:rsidTr="002D72E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B430011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A.3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6689FC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Kontrast kolorów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C83B1F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Koncepcja opisuje lub makiety wizualizują zastosowanie parametrów kolorystycznych zgodnych z wymaganym kontrastem (Tabela 1, pkt 4.3 OPZ)</w:t>
            </w:r>
          </w:p>
        </w:tc>
        <w:tc>
          <w:tcPr>
            <w:tcW w:w="140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8910567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+2 (łącznie 6)</w:t>
            </w:r>
          </w:p>
        </w:tc>
        <w:tc>
          <w:tcPr>
            <w:tcW w:w="122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E89250C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E5F1506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013F41" w:rsidRPr="00D232ED" w14:paraId="19B51B85" w14:textId="77777777" w:rsidTr="002D72E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2B16C2A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A.4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B8F5196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Ścieżki pacjenta na stronie głównej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39C887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Koncepcja opisuje lub makiety wizualizują sposób implementacji „ścieżek pacjenta” jako osobnych, logicznych bloków na stronie głównej – zgodnie z pkt 4.1.1.b OPZ</w:t>
            </w:r>
          </w:p>
        </w:tc>
        <w:tc>
          <w:tcPr>
            <w:tcW w:w="140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7CE9F23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+2 (łącznie 8)</w:t>
            </w:r>
          </w:p>
        </w:tc>
        <w:tc>
          <w:tcPr>
            <w:tcW w:w="122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BBCF1F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C057DBA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53ED73B7" w14:textId="77777777" w:rsidR="00013F41" w:rsidRPr="00D232ED" w:rsidRDefault="00000000" w:rsidP="00013F41">
      <w:pPr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pict w14:anchorId="0AB86A41">
          <v:rect id="_x0000_i1027" style="width:0;height:.75pt" o:hralign="center" o:hrstd="t" o:hr="t" fillcolor="#a0a0a0" stroked="f"/>
        </w:pict>
      </w:r>
    </w:p>
    <w:p w14:paraId="577D0860" w14:textId="77777777" w:rsidR="00013F41" w:rsidRPr="00D232ED" w:rsidRDefault="00013F41" w:rsidP="00013F41">
      <w:pPr>
        <w:rPr>
          <w:rFonts w:ascii="Aptos" w:hAnsi="Aptos"/>
          <w:b/>
          <w:bCs/>
          <w:sz w:val="24"/>
          <w:szCs w:val="24"/>
        </w:rPr>
      </w:pPr>
      <w:r w:rsidRPr="00D232ED">
        <w:rPr>
          <w:rFonts w:ascii="Aptos" w:hAnsi="Aptos"/>
          <w:b/>
          <w:bCs/>
          <w:sz w:val="24"/>
          <w:szCs w:val="24"/>
        </w:rPr>
        <w:t>CZĘŚĆ B – FUNKCJONALNOŚĆ I CZYTELNOŚĆ MODUŁU BIP W WERSJI MOBILNEJ (max 6 pkt)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7"/>
        <w:gridCol w:w="1885"/>
        <w:gridCol w:w="2642"/>
        <w:gridCol w:w="1301"/>
        <w:gridCol w:w="1539"/>
        <w:gridCol w:w="1118"/>
      </w:tblGrid>
      <w:tr w:rsidR="00013F41" w:rsidRPr="00D232ED" w14:paraId="193125C8" w14:textId="77777777" w:rsidTr="00013F41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2B71CFE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lastRenderedPageBreak/>
              <w:t>Lp.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5E03F78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Element oceny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6EFE0E5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Opis / odniesienie do OPZ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B93863D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Maks. pkt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5918BDB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Przyznane pkt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BAF2527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Uwagi</w:t>
            </w:r>
          </w:p>
        </w:tc>
      </w:tr>
      <w:tr w:rsidR="00013F41" w:rsidRPr="00D232ED" w14:paraId="4455F8ED" w14:textId="77777777" w:rsidTr="00013F4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D83309E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B.1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CECD165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Prezentacja złożonych tabel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42A1225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Koncepcja opisuje lub makiety wizualizują sposób prezentacji złożonych tabel na urządzeniach mobilnych (np. poziome przewijanie, transformacja do kart) – zgodnie z pkt B-06 OPZ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D06D20E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9B56145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E61430D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013F41" w:rsidRPr="00D232ED" w14:paraId="0C232EFA" w14:textId="77777777" w:rsidTr="00013F4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13B8692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B.2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A66D26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Prezentacja rejestru zmian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2B62A0A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Koncepcja opisuje lub makiety wizualizują czytelną prezentację automatycznego rejestru zmian na małym ekranie – zgodnie z pkt B-07 OPZ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177964E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+2 (łącznie 4)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CDEB8E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DD2696B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013F41" w:rsidRPr="00D232ED" w14:paraId="4BCE2591" w14:textId="77777777" w:rsidTr="00013F4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CCDDF19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B.3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0F4975A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Menu „hamburger” dla nawigacji BIP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5F264D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Koncepcja opisuje lub makiety wizualizują zastosowanie rozwijanego menu dla nawigacji BIP na urządzeniach mobilnych – zgodnie z pkt B-08 OPZ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74CF9D8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+2 (łącznie 6)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F198AD7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1F053DE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3E84152D" w14:textId="77777777" w:rsidR="00013F41" w:rsidRPr="00D232ED" w:rsidRDefault="00000000" w:rsidP="00013F41">
      <w:pPr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pict w14:anchorId="5FD0ED65">
          <v:rect id="_x0000_i1028" style="width:0;height:.75pt" o:hralign="center" o:hrstd="t" o:hr="t" fillcolor="#a0a0a0" stroked="f"/>
        </w:pict>
      </w:r>
    </w:p>
    <w:p w14:paraId="2E267FC3" w14:textId="77777777" w:rsidR="00013F41" w:rsidRPr="00D232ED" w:rsidRDefault="00013F41" w:rsidP="00013F41">
      <w:pPr>
        <w:rPr>
          <w:rFonts w:ascii="Aptos" w:hAnsi="Aptos"/>
          <w:b/>
          <w:bCs/>
          <w:sz w:val="24"/>
          <w:szCs w:val="24"/>
        </w:rPr>
      </w:pPr>
    </w:p>
    <w:p w14:paraId="6C2D2F98" w14:textId="18B9E22C" w:rsidR="00013F41" w:rsidRPr="00D232ED" w:rsidRDefault="00013F41" w:rsidP="00013F41">
      <w:pPr>
        <w:rPr>
          <w:rFonts w:ascii="Aptos" w:hAnsi="Aptos"/>
          <w:b/>
          <w:bCs/>
          <w:sz w:val="24"/>
          <w:szCs w:val="24"/>
        </w:rPr>
      </w:pPr>
      <w:r w:rsidRPr="00D232ED">
        <w:rPr>
          <w:rFonts w:ascii="Aptos" w:hAnsi="Aptos"/>
          <w:b/>
          <w:bCs/>
          <w:sz w:val="24"/>
          <w:szCs w:val="24"/>
        </w:rPr>
        <w:t>CZĘŚĆ C – ARCHITEKTURA INFORMACJI I ŚCIEŻKI PACJENTA (max 6 pkt)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6"/>
        <w:gridCol w:w="2116"/>
        <w:gridCol w:w="2404"/>
        <w:gridCol w:w="1294"/>
        <w:gridCol w:w="1534"/>
        <w:gridCol w:w="1118"/>
      </w:tblGrid>
      <w:tr w:rsidR="00013F41" w:rsidRPr="00D232ED" w14:paraId="7F41BDFF" w14:textId="77777777" w:rsidTr="00013F41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C87C8AA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lastRenderedPageBreak/>
              <w:t>Lp.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029F1B5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Element oceny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2A7F54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Opis / odniesienie do OPZ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D63736F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Maks. pkt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5052D3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Przyznane pkt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38638E6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Uwagi</w:t>
            </w:r>
          </w:p>
        </w:tc>
      </w:tr>
      <w:tr w:rsidR="00013F41" w:rsidRPr="00D232ED" w14:paraId="4D7FC2C2" w14:textId="77777777" w:rsidTr="00013F4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822D5F4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C.1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B769DED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Linki do Portalu Pacjenta/e-rejestracji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0954DFC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Makiety przedstawiają czytelną sekcję linków do Portalu Pacjenta (</w:t>
            </w:r>
            <w:proofErr w:type="spellStart"/>
            <w:r w:rsidRPr="00D232ED">
              <w:rPr>
                <w:rFonts w:ascii="Aptos" w:hAnsi="Aptos"/>
                <w:sz w:val="24"/>
                <w:szCs w:val="24"/>
              </w:rPr>
              <w:t>Kamsoft</w:t>
            </w:r>
            <w:proofErr w:type="spellEnd"/>
            <w:r w:rsidRPr="00D232ED">
              <w:rPr>
                <w:rFonts w:ascii="Aptos" w:hAnsi="Aptos"/>
                <w:sz w:val="24"/>
                <w:szCs w:val="24"/>
              </w:rPr>
              <w:t>) na stronie głównej i w stopce – zgodnie z pkt 4.1.13 OPZ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DDA1EC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99D1B9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F0F6AC4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013F41" w:rsidRPr="00D232ED" w14:paraId="1BF17D64" w14:textId="77777777" w:rsidTr="00013F4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95F7959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C.2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BF2240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Interaktywna mapa przychodni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591BFB4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Makiety przedstawiają interaktywną mapę przychodni z przyciskiem „jak dojadę” – zgodnie z pkt 4.1.1.d OPZ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7416AF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+2 (łącznie 4)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7971D8C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B558C3A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013F41" w:rsidRPr="00D232ED" w14:paraId="5A7301AE" w14:textId="77777777" w:rsidTr="00013F4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A642399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C.3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EB655E3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Katalog lekarzy/zespołu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09ACE0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Koncepcja przedstawia układ katalogu lekarzy/zespołu na przykładowej podstronie wewnętrznej, uwzględniający wszystkie wymagane elementy (specjalizacja, lokalizacja, godziny przyjęć, link do e-rejestracji) – zgodnie z pkt 4.1.1.e OPZ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39C4D3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+2 (łącznie 6)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D409602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1C7D63F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09146567" w14:textId="77777777" w:rsidR="00013F41" w:rsidRPr="00D232ED" w:rsidRDefault="00000000" w:rsidP="00013F41">
      <w:pPr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pict w14:anchorId="6D3014DB">
          <v:rect id="_x0000_i1029" style="width:0;height:.75pt" o:hralign="center" o:hrstd="t" o:hr="t" fillcolor="#a0a0a0" stroked="f"/>
        </w:pict>
      </w:r>
    </w:p>
    <w:p w14:paraId="23FB6479" w14:textId="77777777" w:rsidR="00013F41" w:rsidRPr="00D232ED" w:rsidRDefault="00013F41" w:rsidP="00013F41">
      <w:pPr>
        <w:rPr>
          <w:rFonts w:ascii="Aptos" w:hAnsi="Aptos"/>
          <w:b/>
          <w:bCs/>
          <w:sz w:val="24"/>
          <w:szCs w:val="24"/>
        </w:rPr>
      </w:pPr>
    </w:p>
    <w:p w14:paraId="6E82D730" w14:textId="0F680102" w:rsidR="00013F41" w:rsidRPr="00D232ED" w:rsidRDefault="00013F41" w:rsidP="00013F41">
      <w:pPr>
        <w:rPr>
          <w:rFonts w:ascii="Aptos" w:hAnsi="Aptos"/>
          <w:b/>
          <w:bCs/>
          <w:sz w:val="24"/>
          <w:szCs w:val="24"/>
        </w:rPr>
      </w:pPr>
      <w:r w:rsidRPr="00D232ED">
        <w:rPr>
          <w:rFonts w:ascii="Aptos" w:hAnsi="Aptos"/>
          <w:b/>
          <w:bCs/>
          <w:sz w:val="24"/>
          <w:szCs w:val="24"/>
        </w:rPr>
        <w:t>PODSUMOWANIE PUNKTACJI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1"/>
        <w:gridCol w:w="5040"/>
        <w:gridCol w:w="1316"/>
        <w:gridCol w:w="1695"/>
      </w:tblGrid>
      <w:tr w:rsidR="00013F41" w:rsidRPr="00D232ED" w14:paraId="62E86C4C" w14:textId="77777777" w:rsidTr="00013F41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C86442D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Część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F23004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Opis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728CFBD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Maks. pkt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B647AC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Uzyskane pkt</w:t>
            </w:r>
          </w:p>
        </w:tc>
      </w:tr>
      <w:tr w:rsidR="00013F41" w:rsidRPr="00D232ED" w14:paraId="4FF3AAA1" w14:textId="77777777" w:rsidTr="00013F4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98F7F26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A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10D789E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Dostępność dla seniorów i osób z niepełnosprawnościami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D93EDB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8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54D4242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013F41" w:rsidRPr="00D232ED" w14:paraId="17BA9DF6" w14:textId="77777777" w:rsidTr="00013F4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1E5B55C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B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46B6036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Funkcjonalność i czytelność modułu BIP w wersji mobilnej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56F6FF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14E6662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013F41" w:rsidRPr="00D232ED" w14:paraId="16DFE17B" w14:textId="77777777" w:rsidTr="00013F4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D4AB078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C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560DE15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Architektura informacji i ścieżki pacjenta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034BA72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sz w:val="24"/>
                <w:szCs w:val="24"/>
              </w:rPr>
              <w:t>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1E19A0F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013F41" w:rsidRPr="00D232ED" w14:paraId="3A76EAB8" w14:textId="77777777" w:rsidTr="00013F4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5D9EFB8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b/>
                <w:bCs/>
                <w:sz w:val="24"/>
                <w:szCs w:val="24"/>
              </w:rPr>
              <w:t>RAZEM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4CE3CFD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b/>
                <w:bCs/>
                <w:sz w:val="24"/>
                <w:szCs w:val="24"/>
              </w:rPr>
              <w:t>Łączna liczba punktów w kryterium J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70672E6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  <w:r w:rsidRPr="00D232ED">
              <w:rPr>
                <w:rFonts w:ascii="Aptos" w:hAnsi="Aptos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D72DC35" w14:textId="77777777" w:rsidR="00013F41" w:rsidRPr="00D232ED" w:rsidRDefault="00013F41" w:rsidP="00013F41">
            <w:pPr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7F176C48" w14:textId="77777777" w:rsidR="00013F41" w:rsidRPr="00D232ED" w:rsidRDefault="00000000" w:rsidP="00013F41">
      <w:pPr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pict w14:anchorId="689CF53D">
          <v:rect id="_x0000_i1030" style="width:0;height:.75pt" o:hralign="center" o:hrstd="t" o:hr="t" fillcolor="#a0a0a0" stroked="f"/>
        </w:pict>
      </w:r>
    </w:p>
    <w:p w14:paraId="40A20563" w14:textId="77777777" w:rsidR="00013F41" w:rsidRPr="00D232ED" w:rsidRDefault="00013F41" w:rsidP="00013F41">
      <w:pPr>
        <w:rPr>
          <w:rFonts w:ascii="Aptos" w:hAnsi="Aptos"/>
          <w:b/>
          <w:bCs/>
          <w:sz w:val="24"/>
          <w:szCs w:val="24"/>
        </w:rPr>
      </w:pPr>
      <w:r w:rsidRPr="00D232ED">
        <w:rPr>
          <w:rFonts w:ascii="Aptos" w:hAnsi="Aptos"/>
          <w:b/>
          <w:bCs/>
          <w:sz w:val="24"/>
          <w:szCs w:val="24"/>
        </w:rPr>
        <w:t>UWAGI KOŃCOWE</w:t>
      </w:r>
    </w:p>
    <w:p w14:paraId="22B56AED" w14:textId="77777777" w:rsidR="00013F41" w:rsidRPr="00D232ED" w:rsidRDefault="00013F41" w:rsidP="00013F41">
      <w:pPr>
        <w:numPr>
          <w:ilvl w:val="0"/>
          <w:numId w:val="1"/>
        </w:numPr>
        <w:rPr>
          <w:rFonts w:ascii="Aptos" w:hAnsi="Aptos"/>
          <w:sz w:val="24"/>
          <w:szCs w:val="24"/>
        </w:rPr>
      </w:pPr>
      <w:r w:rsidRPr="00D232ED">
        <w:rPr>
          <w:rFonts w:ascii="Aptos" w:hAnsi="Aptos"/>
          <w:sz w:val="24"/>
          <w:szCs w:val="24"/>
        </w:rPr>
        <w:t>Punkty przyznaje się </w:t>
      </w:r>
      <w:r w:rsidRPr="00D232ED">
        <w:rPr>
          <w:rFonts w:ascii="Aptos" w:hAnsi="Aptos"/>
          <w:b/>
          <w:bCs/>
          <w:sz w:val="24"/>
          <w:szCs w:val="24"/>
        </w:rPr>
        <w:t>wyłącznie</w:t>
      </w:r>
      <w:r w:rsidRPr="00D232ED">
        <w:rPr>
          <w:rFonts w:ascii="Aptos" w:hAnsi="Aptos"/>
          <w:sz w:val="24"/>
          <w:szCs w:val="24"/>
        </w:rPr>
        <w:t> za elementy wprost wykazane w koncepcji/makietach.</w:t>
      </w:r>
    </w:p>
    <w:p w14:paraId="24D3D646" w14:textId="77777777" w:rsidR="00013F41" w:rsidRPr="00D232ED" w:rsidRDefault="00013F41" w:rsidP="00013F41">
      <w:pPr>
        <w:numPr>
          <w:ilvl w:val="0"/>
          <w:numId w:val="1"/>
        </w:numPr>
        <w:rPr>
          <w:rFonts w:ascii="Aptos" w:hAnsi="Aptos"/>
          <w:sz w:val="24"/>
          <w:szCs w:val="24"/>
        </w:rPr>
      </w:pPr>
      <w:r w:rsidRPr="00D232ED">
        <w:rPr>
          <w:rFonts w:ascii="Aptos" w:hAnsi="Aptos"/>
          <w:sz w:val="24"/>
          <w:szCs w:val="24"/>
        </w:rPr>
        <w:t>Brak opisu lub makiety dla danego elementu = 0 pkt w danym podpunkcie.</w:t>
      </w:r>
    </w:p>
    <w:p w14:paraId="112DF0E9" w14:textId="77777777" w:rsidR="0025750F" w:rsidRDefault="0025750F">
      <w:pPr>
        <w:rPr>
          <w:rFonts w:ascii="Aptos" w:hAnsi="Aptos"/>
          <w:sz w:val="24"/>
          <w:szCs w:val="24"/>
        </w:rPr>
      </w:pPr>
    </w:p>
    <w:p w14:paraId="3E9BE03B" w14:textId="1BE520E6" w:rsidR="00D232ED" w:rsidRDefault="00D232ED" w:rsidP="00D232ED">
      <w:pPr>
        <w:jc w:val="right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………………………………</w:t>
      </w:r>
    </w:p>
    <w:p w14:paraId="6E6B9D4C" w14:textId="087478D0" w:rsidR="00D232ED" w:rsidRPr="00D232ED" w:rsidRDefault="00D232ED" w:rsidP="00D232ED">
      <w:pPr>
        <w:jc w:val="right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 xml:space="preserve">Podpis Oceniającego </w:t>
      </w:r>
    </w:p>
    <w:sectPr w:rsidR="00D232ED" w:rsidRPr="00D232E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2E595" w14:textId="77777777" w:rsidR="00197561" w:rsidRDefault="00197561" w:rsidP="00187221">
      <w:pPr>
        <w:spacing w:after="0" w:line="240" w:lineRule="auto"/>
      </w:pPr>
      <w:r>
        <w:separator/>
      </w:r>
    </w:p>
  </w:endnote>
  <w:endnote w:type="continuationSeparator" w:id="0">
    <w:p w14:paraId="6D39A592" w14:textId="77777777" w:rsidR="00197561" w:rsidRDefault="00197561" w:rsidP="00187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10011" w14:textId="77777777" w:rsidR="00197561" w:rsidRDefault="00197561" w:rsidP="00187221">
      <w:pPr>
        <w:spacing w:after="0" w:line="240" w:lineRule="auto"/>
      </w:pPr>
      <w:r>
        <w:separator/>
      </w:r>
    </w:p>
  </w:footnote>
  <w:footnote w:type="continuationSeparator" w:id="0">
    <w:p w14:paraId="408EF15E" w14:textId="77777777" w:rsidR="00197561" w:rsidRDefault="00197561" w:rsidP="001872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0D63F" w14:textId="1BB7A40E" w:rsidR="00187221" w:rsidRDefault="00187221" w:rsidP="00187221">
    <w:pPr>
      <w:pStyle w:val="Nagwek"/>
      <w:jc w:val="right"/>
    </w:pPr>
    <w:r>
      <w:rPr>
        <w:rFonts w:eastAsia="MS Mincho"/>
        <w:b/>
        <w:noProof/>
      </w:rPr>
      <w:drawing>
        <wp:inline distT="0" distB="0" distL="0" distR="0" wp14:anchorId="68611069" wp14:editId="6EBF7F02">
          <wp:extent cx="2186156" cy="604520"/>
          <wp:effectExtent l="0" t="0" r="5080" b="5080"/>
          <wp:docPr id="8" name="Obraz 8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4239" cy="6122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187221">
      <w:rPr>
        <w:rFonts w:ascii="Aptos" w:hAnsi="Aptos"/>
        <w:sz w:val="18"/>
        <w:szCs w:val="18"/>
      </w:rPr>
      <w:t xml:space="preserve"> </w:t>
    </w:r>
    <w:r w:rsidRPr="00CD1B6B">
      <w:rPr>
        <w:rFonts w:ascii="Aptos" w:hAnsi="Aptos"/>
        <w:sz w:val="18"/>
        <w:szCs w:val="18"/>
      </w:rPr>
      <w:t>Specyfikacja warunków zamówienia SWZ – DIN.0421.2.202</w:t>
    </w:r>
    <w:r>
      <w:rPr>
        <w:rFonts w:ascii="Aptos" w:hAnsi="Aptos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2070EB"/>
    <w:multiLevelType w:val="multilevel"/>
    <w:tmpl w:val="784EB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7902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41"/>
    <w:rsid w:val="00013F41"/>
    <w:rsid w:val="00160336"/>
    <w:rsid w:val="00187221"/>
    <w:rsid w:val="00197561"/>
    <w:rsid w:val="0025750F"/>
    <w:rsid w:val="002D72E6"/>
    <w:rsid w:val="00464A87"/>
    <w:rsid w:val="004867ED"/>
    <w:rsid w:val="005A67C2"/>
    <w:rsid w:val="00644DB2"/>
    <w:rsid w:val="00B10A6A"/>
    <w:rsid w:val="00D232ED"/>
    <w:rsid w:val="00EF1020"/>
    <w:rsid w:val="00F220C3"/>
    <w:rsid w:val="00F32B8E"/>
    <w:rsid w:val="00FC4DD1"/>
    <w:rsid w:val="00FF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F7709"/>
  <w15:chartTrackingRefBased/>
  <w15:docId w15:val="{BC6C88C7-42DA-4098-B557-4517252F1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3F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3F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3F4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3F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3F4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3F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3F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3F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3F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3F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3F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3F4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3F4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3F4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3F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3F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3F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3F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3F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3F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3F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3F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3F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3F4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3F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3F4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3F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3F4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3F4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87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7221"/>
  </w:style>
  <w:style w:type="paragraph" w:styleId="Stopka">
    <w:name w:val="footer"/>
    <w:basedOn w:val="Normalny"/>
    <w:link w:val="StopkaZnak"/>
    <w:uiPriority w:val="99"/>
    <w:unhideWhenUsed/>
    <w:rsid w:val="00187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7221"/>
  </w:style>
  <w:style w:type="paragraph" w:customStyle="1" w:styleId="pkt">
    <w:name w:val="pkt"/>
    <w:basedOn w:val="Normalny"/>
    <w:rsid w:val="0018722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501</Words>
  <Characters>3012</Characters>
  <Application>Microsoft Office Word</Application>
  <DocSecurity>0</DocSecurity>
  <Lines>25</Lines>
  <Paragraphs>7</Paragraphs>
  <ScaleCrop>false</ScaleCrop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Strzałkowski</dc:creator>
  <cp:keywords/>
  <dc:description/>
  <cp:lastModifiedBy>Wioletta Stasiak</cp:lastModifiedBy>
  <cp:revision>6</cp:revision>
  <dcterms:created xsi:type="dcterms:W3CDTF">2026-03-16T10:23:00Z</dcterms:created>
  <dcterms:modified xsi:type="dcterms:W3CDTF">2026-03-19T13:26:00Z</dcterms:modified>
</cp:coreProperties>
</file>